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15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50"/>
        <w:gridCol w:w="10965"/>
      </w:tblGrid>
      <w:tr w:rsidR="00CF2CDC" w:rsidRPr="00CF2CDC" w:rsidTr="000731C9">
        <w:trPr>
          <w:trHeight w:val="440"/>
        </w:trPr>
        <w:tc>
          <w:tcPr>
            <w:tcW w:w="2850" w:type="dxa"/>
            <w:shd w:val="clear" w:color="auto" w:fill="E36C0A" w:themeFill="accent6" w:themeFillShade="BF"/>
          </w:tcPr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b/>
                <w:sz w:val="22"/>
                <w:szCs w:val="22"/>
              </w:rPr>
            </w:pPr>
            <w:r w:rsidRPr="00CF2CDC">
              <w:rPr>
                <w:rFonts w:ascii="Rockwell" w:eastAsia="Rockwell" w:hAnsi="Rockwell" w:cs="Rockwell"/>
                <w:b/>
                <w:sz w:val="22"/>
                <w:szCs w:val="22"/>
              </w:rPr>
              <w:t>Month</w:t>
            </w:r>
          </w:p>
        </w:tc>
        <w:tc>
          <w:tcPr>
            <w:tcW w:w="10965" w:type="dxa"/>
            <w:shd w:val="clear" w:color="auto" w:fill="E36C0A" w:themeFill="accent6" w:themeFillShade="BF"/>
          </w:tcPr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b/>
                <w:sz w:val="22"/>
                <w:szCs w:val="22"/>
              </w:rPr>
            </w:pPr>
            <w:r w:rsidRPr="00CF2CDC">
              <w:rPr>
                <w:rFonts w:ascii="Rockwell" w:eastAsia="Rockwell" w:hAnsi="Rockwell" w:cs="Rockwell"/>
                <w:b/>
                <w:sz w:val="22"/>
                <w:szCs w:val="22"/>
              </w:rPr>
              <w:t>Grade 6</w:t>
            </w:r>
          </w:p>
        </w:tc>
      </w:tr>
      <w:tr w:rsidR="00CF2CDC" w:rsidRPr="00CF2CDC" w:rsidTr="000731C9">
        <w:trPr>
          <w:trHeight w:val="820"/>
        </w:trPr>
        <w:tc>
          <w:tcPr>
            <w:tcW w:w="2850" w:type="dxa"/>
          </w:tcPr>
          <w:p w:rsidR="00CF2CDC" w:rsidRPr="00CF2CDC" w:rsidRDefault="00CF2CDC" w:rsidP="000731C9">
            <w:pPr>
              <w:pStyle w:val="normal0"/>
              <w:ind w:right="-123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  <w:r w:rsidRPr="00CF2CDC">
              <w:rPr>
                <w:rFonts w:ascii="Rockwell" w:eastAsia="Rockwell" w:hAnsi="Rockwell" w:cs="Rockwell"/>
                <w:sz w:val="22"/>
                <w:szCs w:val="22"/>
              </w:rPr>
              <w:t>September</w:t>
            </w:r>
          </w:p>
          <w:p w:rsidR="00CF2CDC" w:rsidRPr="00CF2CDC" w:rsidRDefault="00CF2CDC" w:rsidP="000731C9">
            <w:pPr>
              <w:pStyle w:val="normal0"/>
              <w:ind w:right="-123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</w:p>
          <w:p w:rsidR="00CF2CDC" w:rsidRPr="00CF2CDC" w:rsidRDefault="00CF2CDC" w:rsidP="000731C9">
            <w:pPr>
              <w:pStyle w:val="normal0"/>
              <w:ind w:right="-123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</w:p>
        </w:tc>
        <w:tc>
          <w:tcPr>
            <w:tcW w:w="10965" w:type="dxa"/>
          </w:tcPr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>Grammar: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  collective, compound, and non-count nouns; pronouns and their usage; action and linking verbs.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>Composition: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  literary analysis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>Reading Comprehension: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  </w:t>
            </w:r>
            <w:r w:rsidRPr="00CF2CDC">
              <w:rPr>
                <w:rFonts w:ascii="Cambria" w:eastAsia="Cambria" w:hAnsi="Cambria" w:cs="Cambria"/>
                <w:i/>
                <w:sz w:val="22"/>
                <w:szCs w:val="22"/>
              </w:rPr>
              <w:t>Roll of Thunder, Hear My Cry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Vocabulary: 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units A1-A2 (from </w:t>
            </w:r>
            <w:proofErr w:type="spellStart"/>
            <w:r w:rsidRPr="00CF2CDC">
              <w:rPr>
                <w:rFonts w:ascii="Cambria" w:eastAsia="Cambria" w:hAnsi="Cambria" w:cs="Cambria"/>
                <w:i/>
                <w:sz w:val="22"/>
                <w:szCs w:val="22"/>
              </w:rPr>
              <w:t>Sadlier</w:t>
            </w:r>
            <w:proofErr w:type="spellEnd"/>
            <w:r w:rsidRPr="00CF2CDC"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Vocabulary Workshop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)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Speaking/Listening: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oral interpretation of literature</w:t>
            </w:r>
          </w:p>
        </w:tc>
      </w:tr>
      <w:tr w:rsidR="00CF2CDC" w:rsidRPr="00CF2CDC" w:rsidTr="000731C9">
        <w:trPr>
          <w:trHeight w:val="820"/>
        </w:trPr>
        <w:tc>
          <w:tcPr>
            <w:tcW w:w="2850" w:type="dxa"/>
          </w:tcPr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  <w:r w:rsidRPr="00CF2CDC">
              <w:rPr>
                <w:rFonts w:ascii="Rockwell" w:eastAsia="Rockwell" w:hAnsi="Rockwell" w:cs="Rockwell"/>
                <w:sz w:val="22"/>
                <w:szCs w:val="22"/>
              </w:rPr>
              <w:t>October</w:t>
            </w:r>
          </w:p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</w:p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</w:p>
        </w:tc>
        <w:tc>
          <w:tcPr>
            <w:tcW w:w="10965" w:type="dxa"/>
          </w:tcPr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>Grammar: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  adjectives and adverbs, nouns as modifiers, other parts of speech as modifiers.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>Composition: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  historical research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>Reading Comprehension: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  </w:t>
            </w:r>
            <w:r w:rsidRPr="00CF2CDC">
              <w:rPr>
                <w:rFonts w:ascii="Cambria" w:eastAsia="Cambria" w:hAnsi="Cambria" w:cs="Cambria"/>
                <w:i/>
                <w:sz w:val="22"/>
                <w:szCs w:val="22"/>
              </w:rPr>
              <w:t>Roll of Thunder, Hear My Cry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Vocabulary: 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units A3-A4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Speaking/Listening: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presentation of historical research</w:t>
            </w:r>
          </w:p>
        </w:tc>
      </w:tr>
      <w:tr w:rsidR="00CF2CDC" w:rsidRPr="00CF2CDC" w:rsidTr="000731C9">
        <w:trPr>
          <w:trHeight w:val="740"/>
        </w:trPr>
        <w:tc>
          <w:tcPr>
            <w:tcW w:w="2850" w:type="dxa"/>
          </w:tcPr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  <w:r w:rsidRPr="00CF2CDC">
              <w:rPr>
                <w:rFonts w:ascii="Rockwell" w:eastAsia="Rockwell" w:hAnsi="Rockwell" w:cs="Rockwell"/>
                <w:sz w:val="22"/>
                <w:szCs w:val="22"/>
              </w:rPr>
              <w:t>November</w:t>
            </w:r>
          </w:p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</w:p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</w:p>
        </w:tc>
        <w:tc>
          <w:tcPr>
            <w:tcW w:w="10965" w:type="dxa"/>
          </w:tcPr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>Grammar: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  prepositions, conjunctions, and interjections.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Composition: 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MLA citations, annotated bibliography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Reading Comprehension: 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nonfiction fiction selections 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Vocabulary: 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units A5-A6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Speaking/Listening: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research circles</w:t>
            </w:r>
          </w:p>
        </w:tc>
      </w:tr>
      <w:tr w:rsidR="00CF2CDC" w:rsidRPr="00CF2CDC" w:rsidTr="000731C9">
        <w:trPr>
          <w:trHeight w:val="820"/>
        </w:trPr>
        <w:tc>
          <w:tcPr>
            <w:tcW w:w="2850" w:type="dxa"/>
          </w:tcPr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  <w:r w:rsidRPr="00CF2CDC">
              <w:rPr>
                <w:rFonts w:ascii="Rockwell" w:eastAsia="Rockwell" w:hAnsi="Rockwell" w:cs="Rockwell"/>
                <w:sz w:val="22"/>
                <w:szCs w:val="22"/>
              </w:rPr>
              <w:t>December</w:t>
            </w:r>
          </w:p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</w:p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</w:p>
        </w:tc>
        <w:tc>
          <w:tcPr>
            <w:tcW w:w="10965" w:type="dxa"/>
          </w:tcPr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>Grammar: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  compound subjects, compound verbs, and compound sentences.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Composition: 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short fiction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>Reading Comprehension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:</w:t>
            </w:r>
            <w:r w:rsidRPr="00CF2CDC"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short story selections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>Vocabulary: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 units A7-A8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Speaking/Listening: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story circles</w:t>
            </w:r>
          </w:p>
        </w:tc>
      </w:tr>
      <w:tr w:rsidR="00CF2CDC" w:rsidRPr="00CF2CDC" w:rsidTr="000731C9">
        <w:trPr>
          <w:trHeight w:val="820"/>
        </w:trPr>
        <w:tc>
          <w:tcPr>
            <w:tcW w:w="2850" w:type="dxa"/>
          </w:tcPr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  <w:r w:rsidRPr="00CF2CDC">
              <w:rPr>
                <w:rFonts w:ascii="Rockwell" w:eastAsia="Rockwell" w:hAnsi="Rockwell" w:cs="Rockwell"/>
                <w:sz w:val="22"/>
                <w:szCs w:val="22"/>
              </w:rPr>
              <w:t>January</w:t>
            </w:r>
          </w:p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i/>
                <w:sz w:val="22"/>
                <w:szCs w:val="22"/>
              </w:rPr>
            </w:pPr>
          </w:p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</w:p>
        </w:tc>
        <w:tc>
          <w:tcPr>
            <w:tcW w:w="10965" w:type="dxa"/>
          </w:tcPr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>Grammar: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  capitalization, end marks, and commas.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Composition: 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poetry explication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>Reading Comprehension: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  poetry selections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Vocabulary: 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units A9-A10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Speaking/Listening: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poetic interpretation </w:t>
            </w:r>
          </w:p>
        </w:tc>
      </w:tr>
      <w:tr w:rsidR="00CF2CDC" w:rsidRPr="00CF2CDC" w:rsidTr="000731C9">
        <w:trPr>
          <w:trHeight w:val="820"/>
        </w:trPr>
        <w:tc>
          <w:tcPr>
            <w:tcW w:w="2850" w:type="dxa"/>
          </w:tcPr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  <w:r w:rsidRPr="00CF2CDC">
              <w:rPr>
                <w:rFonts w:ascii="Rockwell" w:eastAsia="Rockwell" w:hAnsi="Rockwell" w:cs="Rockwell"/>
                <w:sz w:val="22"/>
                <w:szCs w:val="22"/>
              </w:rPr>
              <w:t>February</w:t>
            </w:r>
          </w:p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</w:p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</w:p>
        </w:tc>
        <w:tc>
          <w:tcPr>
            <w:tcW w:w="10965" w:type="dxa"/>
          </w:tcPr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>Grammar: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  quotation marks, underlining, colons, semicolons, hyphens and apostrophes.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Composition: 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vignettes 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>Reading Comprehension: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  </w:t>
            </w:r>
            <w:r w:rsidRPr="00CF2CDC">
              <w:rPr>
                <w:rFonts w:ascii="Cambria" w:eastAsia="Cambria" w:hAnsi="Cambria" w:cs="Cambria"/>
                <w:i/>
                <w:sz w:val="22"/>
                <w:szCs w:val="22"/>
              </w:rPr>
              <w:t>The House on Mango Street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>Vocabulary: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 units A11-A12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Speaking/Listening: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oral interpretation of literature</w:t>
            </w: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,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vignette performance</w:t>
            </w:r>
          </w:p>
        </w:tc>
      </w:tr>
      <w:tr w:rsidR="00CF2CDC" w:rsidRPr="00CF2CDC" w:rsidTr="000731C9">
        <w:trPr>
          <w:trHeight w:val="820"/>
        </w:trPr>
        <w:tc>
          <w:tcPr>
            <w:tcW w:w="2850" w:type="dxa"/>
          </w:tcPr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  <w:r w:rsidRPr="00CF2CDC">
              <w:rPr>
                <w:rFonts w:ascii="Rockwell" w:eastAsia="Rockwell" w:hAnsi="Rockwell" w:cs="Rockwell"/>
                <w:sz w:val="22"/>
                <w:szCs w:val="22"/>
              </w:rPr>
              <w:lastRenderedPageBreak/>
              <w:t>March</w:t>
            </w:r>
          </w:p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</w:p>
        </w:tc>
        <w:tc>
          <w:tcPr>
            <w:tcW w:w="10965" w:type="dxa"/>
          </w:tcPr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>Grammar: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  subject-verb agreement.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Composition: 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radio drama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>Reading Comprehension: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  </w:t>
            </w:r>
            <w:r w:rsidRPr="00CF2CDC">
              <w:rPr>
                <w:rFonts w:ascii="Cambria" w:eastAsia="Cambria" w:hAnsi="Cambria" w:cs="Cambria"/>
                <w:i/>
                <w:sz w:val="22"/>
                <w:szCs w:val="22"/>
              </w:rPr>
              <w:t>Treasure Island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Vocabulary: 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units A13-A14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Speaking/Listening: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drama selections</w:t>
            </w:r>
          </w:p>
        </w:tc>
      </w:tr>
      <w:tr w:rsidR="00CF2CDC" w:rsidRPr="00CF2CDC" w:rsidTr="000731C9">
        <w:trPr>
          <w:trHeight w:val="820"/>
        </w:trPr>
        <w:tc>
          <w:tcPr>
            <w:tcW w:w="2850" w:type="dxa"/>
          </w:tcPr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  <w:r w:rsidRPr="00CF2CDC">
              <w:rPr>
                <w:rFonts w:ascii="Rockwell" w:eastAsia="Rockwell" w:hAnsi="Rockwell" w:cs="Rockwell"/>
                <w:sz w:val="22"/>
                <w:szCs w:val="22"/>
              </w:rPr>
              <w:t>April</w:t>
            </w:r>
          </w:p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</w:p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</w:p>
        </w:tc>
        <w:tc>
          <w:tcPr>
            <w:tcW w:w="10965" w:type="dxa"/>
          </w:tcPr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Grammar: 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pronoun-antecedent agreement, common usage problems.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Composition: 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radio drama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>Reading Comprehension: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  </w:t>
            </w:r>
            <w:r w:rsidRPr="00CF2CDC">
              <w:rPr>
                <w:rFonts w:ascii="Cambria" w:eastAsia="Cambria" w:hAnsi="Cambria" w:cs="Cambria"/>
                <w:i/>
                <w:sz w:val="22"/>
                <w:szCs w:val="22"/>
              </w:rPr>
              <w:t>Treasure Island.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Vocabulary: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units A15-B1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Speaking/Listening: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radio drama performance</w:t>
            </w:r>
          </w:p>
        </w:tc>
      </w:tr>
      <w:tr w:rsidR="00CF2CDC" w:rsidRPr="00CF2CDC" w:rsidTr="000731C9">
        <w:trPr>
          <w:trHeight w:val="820"/>
        </w:trPr>
        <w:tc>
          <w:tcPr>
            <w:tcW w:w="2850" w:type="dxa"/>
          </w:tcPr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  <w:r w:rsidRPr="00CF2CDC">
              <w:rPr>
                <w:rFonts w:ascii="Rockwell" w:eastAsia="Rockwell" w:hAnsi="Rockwell" w:cs="Rockwell"/>
                <w:sz w:val="22"/>
                <w:szCs w:val="22"/>
              </w:rPr>
              <w:t>May/June</w:t>
            </w:r>
          </w:p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</w:p>
          <w:p w:rsidR="00CF2CDC" w:rsidRPr="00CF2CDC" w:rsidRDefault="00CF2CDC" w:rsidP="000731C9">
            <w:pPr>
              <w:pStyle w:val="normal0"/>
              <w:jc w:val="center"/>
              <w:rPr>
                <w:rFonts w:ascii="Rockwell" w:eastAsia="Rockwell" w:hAnsi="Rockwell" w:cs="Rockwell"/>
                <w:sz w:val="22"/>
                <w:szCs w:val="22"/>
              </w:rPr>
            </w:pPr>
          </w:p>
        </w:tc>
        <w:tc>
          <w:tcPr>
            <w:tcW w:w="10965" w:type="dxa"/>
          </w:tcPr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Grammar: 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consistent tense in writing.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Composition: </w:t>
            </w:r>
            <w:proofErr w:type="spellStart"/>
            <w:r w:rsidRPr="00CF2CDC">
              <w:rPr>
                <w:rFonts w:ascii="Cambria" w:eastAsia="Cambria" w:hAnsi="Cambria" w:cs="Cambria"/>
                <w:sz w:val="22"/>
                <w:szCs w:val="22"/>
              </w:rPr>
              <w:t>precis</w:t>
            </w:r>
            <w:proofErr w:type="spellEnd"/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>Reading Comprehension: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 xml:space="preserve">  </w:t>
            </w:r>
            <w:r w:rsidRPr="00CF2CDC">
              <w:rPr>
                <w:rFonts w:ascii="Cambria" w:eastAsia="Cambria" w:hAnsi="Cambria" w:cs="Cambria"/>
                <w:i/>
                <w:sz w:val="22"/>
                <w:szCs w:val="22"/>
              </w:rPr>
              <w:t>Treasure Island.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Vocabulary: 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units B2-B3</w:t>
            </w:r>
          </w:p>
          <w:p w:rsidR="00CF2CDC" w:rsidRPr="00CF2CDC" w:rsidRDefault="00CF2CDC" w:rsidP="000731C9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 w:rsidRPr="00CF2CD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Speaking/Listening: </w:t>
            </w:r>
            <w:r w:rsidRPr="00CF2CDC">
              <w:rPr>
                <w:rFonts w:ascii="Cambria" w:eastAsia="Cambria" w:hAnsi="Cambria" w:cs="Cambria"/>
                <w:sz w:val="22"/>
                <w:szCs w:val="22"/>
              </w:rPr>
              <w:t>book talk</w:t>
            </w:r>
          </w:p>
        </w:tc>
      </w:tr>
    </w:tbl>
    <w:p w:rsidR="00D20E36" w:rsidRDefault="00D20E36"/>
    <w:p w:rsidR="00DE3A1B" w:rsidRDefault="00DE3A1B"/>
    <w:p w:rsidR="00DE3A1B" w:rsidRDefault="00DE3A1B"/>
    <w:p w:rsidR="00DE3A1B" w:rsidRDefault="00DE3A1B"/>
    <w:p w:rsidR="00DE3A1B" w:rsidRDefault="00DE3A1B"/>
    <w:sectPr w:rsidR="00DE3A1B" w:rsidSect="00DE3A1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1B" w:rsidRDefault="00DE3A1B" w:rsidP="00DE3A1B">
      <w:r>
        <w:separator/>
      </w:r>
    </w:p>
  </w:endnote>
  <w:endnote w:type="continuationSeparator" w:id="0">
    <w:p w:rsidR="00DE3A1B" w:rsidRDefault="00DE3A1B" w:rsidP="00DE3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1B" w:rsidRDefault="00DE3A1B" w:rsidP="00DE3A1B">
      <w:r>
        <w:separator/>
      </w:r>
    </w:p>
  </w:footnote>
  <w:footnote w:type="continuationSeparator" w:id="0">
    <w:p w:rsidR="00DE3A1B" w:rsidRDefault="00DE3A1B" w:rsidP="00DE3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1B" w:rsidRDefault="00DE3A1B" w:rsidP="00DE3A1B">
    <w:pPr>
      <w:pStyle w:val="normal0"/>
      <w:jc w:val="center"/>
    </w:pPr>
    <w:r w:rsidRPr="00DE3A1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2533650</wp:posOffset>
          </wp:positionH>
          <wp:positionV relativeFrom="paragraph">
            <wp:posOffset>-295275</wp:posOffset>
          </wp:positionV>
          <wp:extent cx="2400300" cy="68580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:rsidR="00DE3A1B" w:rsidRDefault="00DE3A1B" w:rsidP="00DE3A1B">
    <w:pPr>
      <w:pStyle w:val="normal0"/>
      <w:jc w:val="center"/>
      <w:rPr>
        <w:rFonts w:ascii="Century Gothic" w:eastAsia="Century Gothic" w:hAnsi="Century Gothic" w:cs="Century Gothic"/>
        <w:b/>
        <w:sz w:val="28"/>
        <w:szCs w:val="28"/>
      </w:rPr>
    </w:pPr>
  </w:p>
  <w:p w:rsidR="00DE3A1B" w:rsidRPr="00DE3A1B" w:rsidRDefault="00DE3A1B" w:rsidP="00DE3A1B">
    <w:pPr>
      <w:pStyle w:val="normal0"/>
      <w:jc w:val="center"/>
      <w:rPr>
        <w:rFonts w:ascii="Century Gothic" w:eastAsia="Century Gothic" w:hAnsi="Century Gothic" w:cs="Century Gothic"/>
        <w:b/>
        <w:sz w:val="36"/>
        <w:szCs w:val="36"/>
      </w:rPr>
    </w:pPr>
    <w:r w:rsidRPr="00DE3A1B">
      <w:rPr>
        <w:rFonts w:ascii="Century Gothic" w:eastAsia="Century Gothic" w:hAnsi="Century Gothic" w:cs="Century Gothic"/>
        <w:b/>
        <w:sz w:val="36"/>
        <w:szCs w:val="36"/>
      </w:rPr>
      <w:t xml:space="preserve">2017-2018 </w:t>
    </w:r>
    <w:r w:rsidR="00CF2CDC">
      <w:rPr>
        <w:rFonts w:ascii="Century Gothic" w:eastAsia="Century Gothic" w:hAnsi="Century Gothic" w:cs="Century Gothic"/>
        <w:b/>
        <w:sz w:val="36"/>
        <w:szCs w:val="36"/>
      </w:rPr>
      <w:t>Sixth</w:t>
    </w:r>
    <w:r w:rsidRPr="00DE3A1B">
      <w:rPr>
        <w:rFonts w:ascii="Century Gothic" w:eastAsia="Century Gothic" w:hAnsi="Century Gothic" w:cs="Century Gothic"/>
        <w:b/>
        <w:sz w:val="36"/>
        <w:szCs w:val="36"/>
      </w:rPr>
      <w:t xml:space="preserve"> Grade English Language Arts Curriculum Map</w:t>
    </w:r>
    <w:r w:rsidRPr="00DE3A1B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-251459</wp:posOffset>
          </wp:positionH>
          <wp:positionV relativeFrom="paragraph">
            <wp:posOffset>209550</wp:posOffset>
          </wp:positionV>
          <wp:extent cx="9029700" cy="457200"/>
          <wp:effectExtent l="0" t="0" r="0" b="0"/>
          <wp:wrapNone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97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3A1B" w:rsidRDefault="00DE3A1B" w:rsidP="00DE3A1B">
    <w:pPr>
      <w:pStyle w:val="Header"/>
      <w:tabs>
        <w:tab w:val="clear" w:pos="4680"/>
        <w:tab w:val="clear" w:pos="9360"/>
        <w:tab w:val="left" w:pos="601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A1B"/>
    <w:rsid w:val="00CF2CDC"/>
    <w:rsid w:val="00D20E36"/>
    <w:rsid w:val="00DE3A1B"/>
    <w:rsid w:val="00E0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3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3A1B"/>
  </w:style>
  <w:style w:type="paragraph" w:styleId="Footer">
    <w:name w:val="footer"/>
    <w:basedOn w:val="Normal"/>
    <w:link w:val="FooterChar"/>
    <w:uiPriority w:val="99"/>
    <w:semiHidden/>
    <w:unhideWhenUsed/>
    <w:rsid w:val="00DE3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A1B"/>
  </w:style>
  <w:style w:type="paragraph" w:customStyle="1" w:styleId="normal0">
    <w:name w:val="normal"/>
    <w:rsid w:val="00DE3A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devin.nelson</dc:creator>
  <cp:lastModifiedBy>devin.nelson</cp:lastModifiedBy>
  <cp:revision>2</cp:revision>
  <cp:lastPrinted>2017-09-25T13:51:00Z</cp:lastPrinted>
  <dcterms:created xsi:type="dcterms:W3CDTF">2017-09-25T13:52:00Z</dcterms:created>
  <dcterms:modified xsi:type="dcterms:W3CDTF">2017-09-25T13:52:00Z</dcterms:modified>
</cp:coreProperties>
</file>